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CA" w:rsidRPr="00812847" w:rsidRDefault="00BA46CA" w:rsidP="00D24ADE">
      <w:pPr>
        <w:spacing w:before="120" w:after="120" w:line="360" w:lineRule="auto"/>
        <w:jc w:val="center"/>
        <w:rPr>
          <w:rFonts w:ascii="Arial" w:hAnsi="Arial" w:cs="Arial"/>
        </w:rPr>
      </w:pPr>
      <w:r w:rsidRPr="00812847">
        <w:rPr>
          <w:rFonts w:ascii="Arial" w:hAnsi="Arial" w:cs="Arial"/>
          <w:noProof/>
          <w:lang w:eastAsia="en-IE"/>
        </w:rPr>
        <w:drawing>
          <wp:inline distT="0" distB="0" distL="0" distR="0" wp14:anchorId="4B75F869" wp14:editId="07C7B4BB">
            <wp:extent cx="2140966" cy="1080000"/>
            <wp:effectExtent l="0" t="0" r="0" b="6350"/>
            <wp:docPr id="6" name="Picture 2" descr="U:\Community\Fingal Public Participation Network 2017 Official Folder\Communications\Logos\Fing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U:\Community\Fingal Public Participation Network 2017 Official Folder\Communications\Logos\Fing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66" cy="108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812847" w:rsidRPr="00812847" w:rsidTr="00CB0E5B">
        <w:trPr>
          <w:trHeight w:val="20"/>
        </w:trPr>
        <w:tc>
          <w:tcPr>
            <w:tcW w:w="10762" w:type="dxa"/>
            <w:shd w:val="clear" w:color="auto" w:fill="000000" w:themeFill="text1"/>
          </w:tcPr>
          <w:p w:rsidR="00B24FC3" w:rsidRPr="00812847" w:rsidRDefault="00BA46CA" w:rsidP="00DC437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b/>
                <w:sz w:val="24"/>
                <w:szCs w:val="24"/>
              </w:rPr>
              <w:t xml:space="preserve">DRAFT: </w:t>
            </w:r>
            <w:r w:rsidR="00B24FC3" w:rsidRPr="00812847">
              <w:rPr>
                <w:rFonts w:ascii="Arial" w:hAnsi="Arial" w:cs="Arial"/>
                <w:b/>
                <w:sz w:val="24"/>
                <w:szCs w:val="24"/>
              </w:rPr>
              <w:t>Fingal P</w:t>
            </w:r>
            <w:r w:rsidR="001D351E" w:rsidRPr="00812847">
              <w:rPr>
                <w:rFonts w:ascii="Arial" w:hAnsi="Arial" w:cs="Arial"/>
                <w:b/>
                <w:sz w:val="24"/>
                <w:szCs w:val="24"/>
              </w:rPr>
              <w:t xml:space="preserve">PN Plenary Meeting Minutes | </w:t>
            </w:r>
            <w:r w:rsidR="003A798D" w:rsidRPr="00812847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7172AE" w:rsidRPr="00812847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="001D351E" w:rsidRPr="008128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98D" w:rsidRPr="00812847">
              <w:rPr>
                <w:rFonts w:ascii="Arial" w:hAnsi="Arial" w:cs="Arial"/>
                <w:b/>
                <w:sz w:val="24"/>
                <w:szCs w:val="24"/>
              </w:rPr>
              <w:t xml:space="preserve">November </w:t>
            </w:r>
            <w:r w:rsidR="00DC4374" w:rsidRPr="0081284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B24FC3" w:rsidRPr="00812847">
              <w:rPr>
                <w:rFonts w:ascii="Arial" w:hAnsi="Arial" w:cs="Arial"/>
                <w:b/>
                <w:sz w:val="24"/>
                <w:szCs w:val="24"/>
              </w:rPr>
              <w:t xml:space="preserve"> | Carnegie Court Hotel</w:t>
            </w:r>
          </w:p>
        </w:tc>
      </w:tr>
      <w:tr w:rsidR="00812847" w:rsidRPr="00812847" w:rsidTr="002E1973">
        <w:trPr>
          <w:trHeight w:val="2729"/>
        </w:trPr>
        <w:tc>
          <w:tcPr>
            <w:tcW w:w="10762" w:type="dxa"/>
            <w:tcBorders>
              <w:bottom w:val="single" w:sz="4" w:space="0" w:color="auto"/>
            </w:tcBorders>
          </w:tcPr>
          <w:p w:rsidR="00033E4F" w:rsidRPr="00812847" w:rsidRDefault="00033E4F" w:rsidP="00D24AD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b/>
                <w:sz w:val="24"/>
                <w:szCs w:val="24"/>
              </w:rPr>
              <w:t>Open and Welcome</w:t>
            </w:r>
          </w:p>
          <w:p w:rsidR="00F20A35" w:rsidRPr="00812847" w:rsidRDefault="00CB0E5B" w:rsidP="00CB120B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The plenary was opened</w:t>
            </w:r>
            <w:r w:rsidR="00AE23FD" w:rsidRPr="00812847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306CF0" w:rsidRPr="00812847">
              <w:rPr>
                <w:rFonts w:ascii="Arial" w:hAnsi="Arial" w:cs="Arial"/>
                <w:sz w:val="24"/>
                <w:szCs w:val="24"/>
              </w:rPr>
              <w:t xml:space="preserve"> Michael Walsh</w:t>
            </w:r>
            <w:r w:rsidR="00AE23FD" w:rsidRPr="0081284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A136E" w:rsidRPr="00812847" w:rsidRDefault="00B9778A" w:rsidP="00CB120B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Minutes were proposed by </w:t>
            </w:r>
            <w:r w:rsidR="00BF7DA4" w:rsidRPr="00812847">
              <w:rPr>
                <w:rFonts w:ascii="Arial" w:hAnsi="Arial" w:cs="Arial"/>
                <w:sz w:val="24"/>
                <w:szCs w:val="24"/>
              </w:rPr>
              <w:t>Claire Ann Ferry</w:t>
            </w:r>
            <w:r w:rsidR="002A136E" w:rsidRPr="00812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847">
              <w:rPr>
                <w:rFonts w:ascii="Arial" w:hAnsi="Arial" w:cs="Arial"/>
                <w:sz w:val="24"/>
                <w:szCs w:val="24"/>
              </w:rPr>
              <w:t>and seconded by</w:t>
            </w:r>
            <w:r w:rsidR="00BF7DA4" w:rsidRPr="00812847">
              <w:rPr>
                <w:rFonts w:ascii="Arial" w:hAnsi="Arial" w:cs="Arial"/>
                <w:sz w:val="24"/>
                <w:szCs w:val="24"/>
              </w:rPr>
              <w:t xml:space="preserve"> Heidi</w:t>
            </w:r>
            <w:r w:rsidR="00BF7DA4" w:rsidRPr="00812847">
              <w:rPr>
                <w:rFonts w:ascii="Arial" w:hAnsi="Arial" w:cs="Arial"/>
                <w:sz w:val="24"/>
                <w:szCs w:val="24"/>
              </w:rPr>
              <w:tab/>
              <w:t>Bedell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6BE4" w:rsidRPr="00812847">
              <w:rPr>
                <w:rFonts w:ascii="Arial" w:hAnsi="Arial" w:cs="Arial"/>
                <w:sz w:val="24"/>
                <w:szCs w:val="24"/>
              </w:rPr>
              <w:t>with no matters arising.</w:t>
            </w:r>
          </w:p>
          <w:p w:rsidR="00ED53CE" w:rsidRPr="00CB120B" w:rsidRDefault="002A136E" w:rsidP="00CB120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The plenary </w:t>
            </w:r>
            <w:r w:rsidR="006C6F2B" w:rsidRPr="00812847">
              <w:rPr>
                <w:rFonts w:ascii="Arial" w:hAnsi="Arial" w:cs="Arial"/>
                <w:sz w:val="24"/>
                <w:szCs w:val="24"/>
              </w:rPr>
              <w:t>was preceded by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the launch of Fingal Inclusion Week</w:t>
            </w:r>
            <w:r w:rsidR="00CB1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20B" w:rsidRPr="00CB120B">
              <w:rPr>
                <w:rFonts w:ascii="Arial" w:hAnsi="Arial" w:cs="Arial"/>
                <w:sz w:val="24"/>
                <w:szCs w:val="24"/>
              </w:rPr>
              <w:t>(presentation from</w:t>
            </w:r>
            <w:r w:rsidR="00CB120B" w:rsidRPr="00CB12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CB120B" w:rsidRPr="00CB120B">
              <w:rPr>
                <w:rFonts w:ascii="Arial" w:hAnsi="Arial" w:cs="Arial"/>
                <w:sz w:val="24"/>
                <w:szCs w:val="24"/>
              </w:rPr>
              <w:t xml:space="preserve">Michela Benassi and Anthony </w:t>
            </w:r>
            <w:proofErr w:type="spellStart"/>
            <w:r w:rsidR="00CB120B" w:rsidRPr="00CB120B">
              <w:rPr>
                <w:rFonts w:ascii="Arial" w:hAnsi="Arial" w:cs="Arial"/>
                <w:sz w:val="24"/>
                <w:szCs w:val="24"/>
              </w:rPr>
              <w:t>Onwuka</w:t>
            </w:r>
            <w:proofErr w:type="spellEnd"/>
            <w:r w:rsidR="00CB120B" w:rsidRPr="00CB120B">
              <w:rPr>
                <w:rFonts w:ascii="Arial" w:hAnsi="Arial" w:cs="Arial"/>
                <w:sz w:val="24"/>
                <w:szCs w:val="24"/>
              </w:rPr>
              <w:t>, Fingal Inclusion Week Steering Committee</w:t>
            </w:r>
            <w:r w:rsidR="00CB120B" w:rsidRPr="00CB120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B3C84" w:rsidRPr="00812847">
              <w:rPr>
                <w:rFonts w:ascii="Arial" w:hAnsi="Arial" w:cs="Arial"/>
                <w:sz w:val="24"/>
                <w:szCs w:val="24"/>
              </w:rPr>
              <w:t xml:space="preserve">the launch of </w:t>
            </w:r>
            <w:r w:rsidRPr="00812847">
              <w:rPr>
                <w:rFonts w:ascii="Arial" w:hAnsi="Arial" w:cs="Arial"/>
                <w:sz w:val="24"/>
                <w:szCs w:val="24"/>
              </w:rPr>
              <w:t>Fingal Community</w:t>
            </w:r>
            <w:r w:rsidR="006C6F2B" w:rsidRPr="00812847">
              <w:rPr>
                <w:rFonts w:ascii="Arial" w:hAnsi="Arial" w:cs="Arial"/>
                <w:sz w:val="24"/>
                <w:szCs w:val="24"/>
              </w:rPr>
              <w:t xml:space="preserve"> Directory at </w:t>
            </w:r>
            <w:hyperlink r:id="rId8" w:history="1">
              <w:r w:rsidR="006C6F2B" w:rsidRPr="0081284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www.fingalcommunitydirectory.ie</w:t>
              </w:r>
            </w:hyperlink>
            <w:r w:rsidR="00CB120B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CB120B" w:rsidRPr="00CB120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(Presentation from Denise McDermott)</w:t>
            </w:r>
          </w:p>
        </w:tc>
      </w:tr>
      <w:tr w:rsidR="00812847" w:rsidRPr="00812847" w:rsidTr="001C08C5">
        <w:trPr>
          <w:trHeight w:val="1838"/>
        </w:trPr>
        <w:tc>
          <w:tcPr>
            <w:tcW w:w="10762" w:type="dxa"/>
            <w:tcBorders>
              <w:bottom w:val="single" w:sz="4" w:space="0" w:color="auto"/>
            </w:tcBorders>
          </w:tcPr>
          <w:p w:rsidR="002E1973" w:rsidRPr="00812847" w:rsidRDefault="007C5AFA" w:rsidP="00D24AD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 w:rsidR="00ED53CE" w:rsidRPr="00812847">
              <w:rPr>
                <w:rFonts w:ascii="Arial" w:hAnsi="Arial" w:cs="Arial"/>
                <w:b/>
                <w:sz w:val="24"/>
                <w:szCs w:val="24"/>
              </w:rPr>
              <w:t xml:space="preserve"> PPN Resource Worker</w:t>
            </w:r>
            <w:r w:rsidRPr="00812847">
              <w:rPr>
                <w:rFonts w:ascii="Arial" w:hAnsi="Arial" w:cs="Arial"/>
                <w:b/>
                <w:sz w:val="24"/>
                <w:szCs w:val="24"/>
              </w:rPr>
              <w:t>’s Departure</w:t>
            </w:r>
            <w:r w:rsidR="00ED53CE" w:rsidRPr="008128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6A25" w:rsidRPr="00812847" w:rsidRDefault="006C6F2B" w:rsidP="00AB64C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In a slight change to the Agenda, </w:t>
            </w:r>
            <w:r w:rsidR="009260FA" w:rsidRPr="00812847">
              <w:rPr>
                <w:rFonts w:ascii="Arial" w:hAnsi="Arial" w:cs="Arial"/>
                <w:sz w:val="24"/>
                <w:szCs w:val="24"/>
              </w:rPr>
              <w:t xml:space="preserve">John </w:t>
            </w:r>
            <w:r w:rsidR="00ED53CE" w:rsidRPr="00812847">
              <w:rPr>
                <w:rFonts w:ascii="Arial" w:hAnsi="Arial" w:cs="Arial"/>
                <w:sz w:val="24"/>
                <w:szCs w:val="24"/>
              </w:rPr>
              <w:t>Melvin paid tribute to Jamie Moore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on behalf of the Secretariat</w:t>
            </w:r>
            <w:r w:rsidR="00437D6D" w:rsidRPr="00812847">
              <w:rPr>
                <w:rFonts w:ascii="Arial" w:hAnsi="Arial" w:cs="Arial"/>
                <w:sz w:val="24"/>
                <w:szCs w:val="24"/>
              </w:rPr>
              <w:t>, acknowledging his importance in the deve</w:t>
            </w:r>
            <w:r w:rsidR="00B83D1F" w:rsidRPr="00812847">
              <w:rPr>
                <w:rFonts w:ascii="Arial" w:hAnsi="Arial" w:cs="Arial"/>
                <w:sz w:val="24"/>
                <w:szCs w:val="24"/>
              </w:rPr>
              <w:t xml:space="preserve">lopment of Fingal PPN, </w:t>
            </w:r>
            <w:r w:rsidR="00437D6D" w:rsidRPr="00812847">
              <w:rPr>
                <w:rFonts w:ascii="Arial" w:hAnsi="Arial" w:cs="Arial"/>
                <w:sz w:val="24"/>
                <w:szCs w:val="24"/>
              </w:rPr>
              <w:t>making it one of the country’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s leading PPNs. Jamie will finish working with the PPN by the end of 2019. </w:t>
            </w:r>
          </w:p>
        </w:tc>
      </w:tr>
      <w:tr w:rsidR="00812847" w:rsidRPr="00812847" w:rsidTr="002E1973">
        <w:trPr>
          <w:trHeight w:val="1042"/>
        </w:trPr>
        <w:tc>
          <w:tcPr>
            <w:tcW w:w="10762" w:type="dxa"/>
            <w:tcBorders>
              <w:bottom w:val="single" w:sz="4" w:space="0" w:color="auto"/>
            </w:tcBorders>
          </w:tcPr>
          <w:p w:rsidR="005F6A25" w:rsidRPr="00812847" w:rsidRDefault="00BD65DA" w:rsidP="005F6A25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b/>
                <w:sz w:val="24"/>
                <w:szCs w:val="24"/>
              </w:rPr>
              <w:t>PPN Activity Report</w:t>
            </w:r>
          </w:p>
          <w:p w:rsidR="00F206D9" w:rsidRPr="00812847" w:rsidRDefault="00F206D9" w:rsidP="005F6A25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Claire Ann Ferry and Kathleen McCann provided progress reports on PPN Activity and on the Linkage Groups.</w:t>
            </w:r>
          </w:p>
          <w:p w:rsidR="005F6A25" w:rsidRPr="00812847" w:rsidRDefault="00525F0C" w:rsidP="00415E40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PPN Progress and Achievements in 2019 includes Fingal Inclusion Week, National Community Weekend/The Big Hello, Africa Day, Communities4Envirnoment Competition, 5 PPN </w:t>
            </w:r>
            <w:r w:rsidR="00415E40" w:rsidRPr="00812847">
              <w:rPr>
                <w:rFonts w:ascii="Arial" w:hAnsi="Arial" w:cs="Arial"/>
                <w:sz w:val="24"/>
                <w:szCs w:val="24"/>
              </w:rPr>
              <w:t>Representatives on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LCDC,</w:t>
            </w:r>
            <w:r w:rsidR="00415E40" w:rsidRPr="00812847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3 PPN Representatives on LEADER local Action Group</w:t>
            </w:r>
            <w:r w:rsidR="00415E40" w:rsidRPr="008128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6A25" w:rsidRPr="00812847" w:rsidRDefault="0032475B" w:rsidP="00A305E8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In 2019, Fingal PPN had policy and programme input on a number of key strategies including: Broadmeadow Way, Dublin Airport Local Area Plan, Fingal Climate Change Action Plan, FCC Strategic Policy, FCC Corporate Plan, Fingal Digital Strategy, Fingal Community,</w:t>
            </w:r>
            <w:r w:rsidR="00A305E8" w:rsidRPr="00812847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:rsidR="005D0A9E" w:rsidRPr="00812847" w:rsidRDefault="00C63592" w:rsidP="00A305E8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PPN redesigned website which included Micro-sites for Linkage Groups, new Resource Section, information that improves governance and transparency, and an Events and Calendar Section.   </w:t>
            </w:r>
          </w:p>
          <w:p w:rsidR="00251D59" w:rsidRPr="00812847" w:rsidRDefault="00E2299D" w:rsidP="00A305E8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In 2019, there are 13 New Strategic Pol</w:t>
            </w:r>
            <w:r w:rsidR="006C6F2B" w:rsidRPr="00812847">
              <w:rPr>
                <w:rFonts w:ascii="Arial" w:hAnsi="Arial" w:cs="Arial"/>
                <w:sz w:val="24"/>
                <w:szCs w:val="24"/>
              </w:rPr>
              <w:t>icy Committee Representatives, 6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2B2" w:rsidRPr="00812847">
              <w:rPr>
                <w:rFonts w:ascii="Arial" w:hAnsi="Arial" w:cs="Arial"/>
                <w:sz w:val="24"/>
                <w:szCs w:val="24"/>
              </w:rPr>
              <w:t>New Joint Polic</w:t>
            </w:r>
            <w:r w:rsidR="00F206D9" w:rsidRPr="00812847">
              <w:rPr>
                <w:rFonts w:ascii="Arial" w:hAnsi="Arial" w:cs="Arial"/>
                <w:sz w:val="24"/>
                <w:szCs w:val="24"/>
              </w:rPr>
              <w:t xml:space="preserve">ing Committee Representatives, </w:t>
            </w:r>
            <w:r w:rsidR="00DA7EA2" w:rsidRPr="00812847">
              <w:rPr>
                <w:rFonts w:ascii="Arial" w:hAnsi="Arial" w:cs="Arial"/>
                <w:sz w:val="24"/>
                <w:szCs w:val="24"/>
              </w:rPr>
              <w:t xml:space="preserve">23 Linkage Group Meetings, and 5 Linkage Group </w:t>
            </w:r>
            <w:r w:rsidR="00251D59" w:rsidRPr="00812847">
              <w:rPr>
                <w:rFonts w:ascii="Arial" w:hAnsi="Arial" w:cs="Arial"/>
                <w:sz w:val="24"/>
                <w:szCs w:val="24"/>
              </w:rPr>
              <w:t>Facilitators</w:t>
            </w:r>
            <w:r w:rsidR="006C6F2B" w:rsidRPr="008128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1D59" w:rsidRPr="00812847" w:rsidRDefault="00251D59" w:rsidP="006C6F2B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lastRenderedPageBreak/>
              <w:t xml:space="preserve">In 2019, 83% of Fingal PPN Members have seen their insurance cost rise. 35% of members are in danger of closing due to insurance cost. </w:t>
            </w:r>
            <w:r w:rsidR="00E43827" w:rsidRPr="00812847">
              <w:rPr>
                <w:rFonts w:ascii="Arial" w:hAnsi="Arial" w:cs="Arial"/>
                <w:sz w:val="24"/>
                <w:szCs w:val="24"/>
              </w:rPr>
              <w:t xml:space="preserve">Fingal PPN continues to advocate for reform on the issue of insurance.  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6D9" w:rsidRPr="00812847" w:rsidRDefault="00F206D9" w:rsidP="006C6F2B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The draft budget was proposed and passed. As were the updates on the local PPN and changing places.</w:t>
            </w:r>
          </w:p>
          <w:p w:rsidR="00CB120B" w:rsidRPr="00CB120B" w:rsidRDefault="00F206D9" w:rsidP="00CB120B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The Linkage Group update provided information on the activity of each of the Linkage Groups and the new PPN Representatives who have been nominated by each. </w:t>
            </w:r>
          </w:p>
        </w:tc>
      </w:tr>
      <w:tr w:rsidR="00812847" w:rsidRPr="00812847" w:rsidTr="00F00882">
        <w:trPr>
          <w:trHeight w:val="892"/>
        </w:trPr>
        <w:tc>
          <w:tcPr>
            <w:tcW w:w="10762" w:type="dxa"/>
            <w:tcBorders>
              <w:bottom w:val="single" w:sz="4" w:space="0" w:color="auto"/>
            </w:tcBorders>
          </w:tcPr>
          <w:p w:rsidR="005F6A25" w:rsidRPr="00812847" w:rsidRDefault="00865CA0" w:rsidP="00C83A73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812847">
              <w:rPr>
                <w:rFonts w:ascii="Arial" w:hAnsi="Arial" w:cs="Arial"/>
                <w:b/>
                <w:sz w:val="24"/>
                <w:szCs w:val="24"/>
              </w:rPr>
              <w:lastRenderedPageBreak/>
              <w:t>Motions:</w:t>
            </w:r>
          </w:p>
          <w:p w:rsidR="00865CA0" w:rsidRPr="00812847" w:rsidRDefault="00865CA0" w:rsidP="00865CA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Motion 1:</w:t>
            </w:r>
            <w:r w:rsidR="005A5A41" w:rsidRPr="00812847">
              <w:rPr>
                <w:rFonts w:ascii="Arial" w:hAnsi="Arial" w:cs="Arial"/>
                <w:sz w:val="24"/>
                <w:szCs w:val="24"/>
              </w:rPr>
              <w:t xml:space="preserve"> Propose a pilot of local area based PPN in the Lusk area to take place 2020 </w:t>
            </w:r>
            <w:r w:rsidRPr="00812847">
              <w:rPr>
                <w:rFonts w:ascii="Arial" w:hAnsi="Arial" w:cs="Arial"/>
                <w:sz w:val="24"/>
                <w:szCs w:val="24"/>
              </w:rPr>
              <w:t>– Passed</w:t>
            </w:r>
          </w:p>
          <w:p w:rsidR="00865CA0" w:rsidRPr="00812847" w:rsidRDefault="00865CA0" w:rsidP="00865CA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Motion 2: </w:t>
            </w:r>
            <w:r w:rsidR="00443D7E" w:rsidRPr="00812847">
              <w:rPr>
                <w:rFonts w:ascii="Arial" w:hAnsi="Arial" w:cs="Arial"/>
                <w:sz w:val="24"/>
                <w:szCs w:val="24"/>
              </w:rPr>
              <w:t xml:space="preserve">Continued to advocate for and include Changing Places in relevant submissions. </w:t>
            </w:r>
            <w:r w:rsidR="006C6F2B" w:rsidRPr="00812847">
              <w:rPr>
                <w:rFonts w:ascii="Arial" w:hAnsi="Arial" w:cs="Arial"/>
                <w:sz w:val="24"/>
                <w:szCs w:val="24"/>
              </w:rPr>
              <w:t>–</w:t>
            </w:r>
            <w:r w:rsidR="00443D7E" w:rsidRPr="00812847">
              <w:rPr>
                <w:rFonts w:ascii="Arial" w:hAnsi="Arial" w:cs="Arial"/>
                <w:sz w:val="24"/>
                <w:szCs w:val="24"/>
              </w:rPr>
              <w:t xml:space="preserve"> Passed</w:t>
            </w:r>
            <w:r w:rsidR="006C6F2B" w:rsidRPr="008128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6120" w:rsidRPr="00812847" w:rsidRDefault="00332CA5" w:rsidP="00332CA5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Motion 3</w:t>
            </w:r>
            <w:r w:rsidR="00865CA0" w:rsidRPr="0081284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12847">
              <w:rPr>
                <w:rFonts w:ascii="Arial" w:hAnsi="Arial" w:cs="Arial"/>
                <w:sz w:val="24"/>
                <w:szCs w:val="24"/>
              </w:rPr>
              <w:t>Fingal PPN Plenary now adopts the constitutional amendments as recommended by the PPN Constitution Steering Committee</w:t>
            </w:r>
            <w:r w:rsidR="00CB120B">
              <w:rPr>
                <w:rFonts w:ascii="Arial" w:hAnsi="Arial" w:cs="Arial"/>
                <w:sz w:val="24"/>
                <w:szCs w:val="24"/>
              </w:rPr>
              <w:t xml:space="preserve"> (following a presentation from Angela Rogers and Doreen </w:t>
            </w:r>
            <w:proofErr w:type="spellStart"/>
            <w:r w:rsidR="00CB120B">
              <w:rPr>
                <w:rFonts w:ascii="Arial" w:hAnsi="Arial" w:cs="Arial"/>
                <w:sz w:val="24"/>
                <w:szCs w:val="24"/>
              </w:rPr>
              <w:t>Keaney</w:t>
            </w:r>
            <w:proofErr w:type="spellEnd"/>
            <w:r w:rsidR="00CB120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91717" w:rsidRPr="00812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847">
              <w:rPr>
                <w:rFonts w:ascii="Arial" w:hAnsi="Arial" w:cs="Arial"/>
                <w:sz w:val="24"/>
                <w:szCs w:val="24"/>
              </w:rPr>
              <w:t>–</w:t>
            </w:r>
            <w:r w:rsidR="00865CA0" w:rsidRPr="00812847">
              <w:rPr>
                <w:rFonts w:ascii="Arial" w:hAnsi="Arial" w:cs="Arial"/>
                <w:sz w:val="24"/>
                <w:szCs w:val="24"/>
              </w:rPr>
              <w:t xml:space="preserve"> Passed</w:t>
            </w:r>
            <w:r w:rsidRPr="008128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812847" w:rsidRPr="00812847" w:rsidTr="00F00882">
        <w:trPr>
          <w:trHeight w:val="892"/>
        </w:trPr>
        <w:tc>
          <w:tcPr>
            <w:tcW w:w="10762" w:type="dxa"/>
            <w:tcBorders>
              <w:bottom w:val="single" w:sz="4" w:space="0" w:color="auto"/>
            </w:tcBorders>
          </w:tcPr>
          <w:p w:rsidR="006C6F2B" w:rsidRPr="00812847" w:rsidRDefault="006C6F2B" w:rsidP="00C83A73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b/>
                <w:sz w:val="24"/>
                <w:szCs w:val="24"/>
              </w:rPr>
              <w:t>Plenary Session</w:t>
            </w:r>
          </w:p>
          <w:p w:rsidR="006C6F2B" w:rsidRPr="00812847" w:rsidRDefault="006C6F2B" w:rsidP="00C83A7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During the plenary session, the following was discussed:</w:t>
            </w:r>
          </w:p>
          <w:p w:rsidR="006C6F2B" w:rsidRPr="00812847" w:rsidRDefault="00B03043" w:rsidP="006C6F2B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Clarification around the annual hosting charge paid by the PPN. </w:t>
            </w:r>
          </w:p>
          <w:p w:rsidR="004E08C8" w:rsidRPr="00812847" w:rsidRDefault="004E08C8" w:rsidP="006C6F2B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The significant programme budget of Fingal PPN relative to other PPNs. Fingal PPN has the largest programme budget of all PPNs across Ireland.</w:t>
            </w:r>
          </w:p>
          <w:p w:rsidR="00B03043" w:rsidRPr="00812847" w:rsidRDefault="004E08C8" w:rsidP="006C6F2B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The make-up of Strategic Policy Committees and in particular, the Environment seats. </w:t>
            </w:r>
          </w:p>
          <w:p w:rsidR="00F206D9" w:rsidRPr="00812847" w:rsidRDefault="00F206D9" w:rsidP="006C6F2B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 xml:space="preserve">Measuring the work and impact of the PPN, and if the Linkage Groups are making a difference. </w:t>
            </w:r>
          </w:p>
          <w:p w:rsidR="006C6F2B" w:rsidRPr="00812847" w:rsidRDefault="006C6F2B" w:rsidP="006C6F2B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Further tributes to PPN.</w:t>
            </w:r>
          </w:p>
        </w:tc>
      </w:tr>
      <w:tr w:rsidR="00812847" w:rsidRPr="00812847" w:rsidTr="00A51896">
        <w:trPr>
          <w:trHeight w:val="930"/>
        </w:trPr>
        <w:tc>
          <w:tcPr>
            <w:tcW w:w="10762" w:type="dxa"/>
            <w:tcBorders>
              <w:bottom w:val="single" w:sz="4" w:space="0" w:color="auto"/>
            </w:tcBorders>
          </w:tcPr>
          <w:p w:rsidR="005710B7" w:rsidRPr="00812847" w:rsidRDefault="005710B7" w:rsidP="00C83A73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847">
              <w:rPr>
                <w:rFonts w:ascii="Arial" w:hAnsi="Arial" w:cs="Arial"/>
                <w:b/>
                <w:sz w:val="24"/>
                <w:szCs w:val="24"/>
              </w:rPr>
              <w:t>Close of Plenary</w:t>
            </w:r>
          </w:p>
          <w:p w:rsidR="00F206D9" w:rsidRPr="00812847" w:rsidRDefault="00F206D9" w:rsidP="00C83A7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12847">
              <w:rPr>
                <w:rFonts w:ascii="Arial" w:hAnsi="Arial" w:cs="Arial"/>
                <w:sz w:val="24"/>
                <w:szCs w:val="24"/>
              </w:rPr>
              <w:t>Michael Walsh brought the Plenary to a close.</w:t>
            </w:r>
          </w:p>
        </w:tc>
      </w:tr>
    </w:tbl>
    <w:p w:rsidR="00B316B5" w:rsidRPr="00812847" w:rsidRDefault="00B316B5" w:rsidP="00D24ADE">
      <w:pPr>
        <w:spacing w:before="120" w:after="120" w:line="360" w:lineRule="auto"/>
        <w:rPr>
          <w:rFonts w:ascii="Arial" w:hAnsi="Arial" w:cs="Arial"/>
          <w:sz w:val="4"/>
          <w:szCs w:val="24"/>
        </w:rPr>
      </w:pPr>
    </w:p>
    <w:sectPr w:rsidR="00B316B5" w:rsidRPr="00812847" w:rsidSect="00BA46C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82" w:rsidRDefault="00096182" w:rsidP="00BA46CA">
      <w:pPr>
        <w:spacing w:after="0" w:line="240" w:lineRule="auto"/>
      </w:pPr>
      <w:r>
        <w:separator/>
      </w:r>
    </w:p>
  </w:endnote>
  <w:endnote w:type="continuationSeparator" w:id="0">
    <w:p w:rsidR="00096182" w:rsidRDefault="00096182" w:rsidP="00B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82" w:rsidRDefault="00096182" w:rsidP="00BA46CA">
      <w:pPr>
        <w:spacing w:after="0" w:line="240" w:lineRule="auto"/>
      </w:pPr>
      <w:r>
        <w:separator/>
      </w:r>
    </w:p>
  </w:footnote>
  <w:footnote w:type="continuationSeparator" w:id="0">
    <w:p w:rsidR="00096182" w:rsidRDefault="00096182" w:rsidP="00B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8E1"/>
    <w:multiLevelType w:val="hybridMultilevel"/>
    <w:tmpl w:val="75C81F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828"/>
    <w:multiLevelType w:val="hybridMultilevel"/>
    <w:tmpl w:val="7AD23C38"/>
    <w:lvl w:ilvl="0" w:tplc="9CACE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C19"/>
    <w:multiLevelType w:val="hybridMultilevel"/>
    <w:tmpl w:val="3A3EAC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B6A"/>
    <w:multiLevelType w:val="hybridMultilevel"/>
    <w:tmpl w:val="6B982BB2"/>
    <w:lvl w:ilvl="0" w:tplc="7C1A7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34CF"/>
    <w:multiLevelType w:val="hybridMultilevel"/>
    <w:tmpl w:val="49EA0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7D0E"/>
    <w:multiLevelType w:val="hybridMultilevel"/>
    <w:tmpl w:val="9A703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1C76"/>
    <w:multiLevelType w:val="hybridMultilevel"/>
    <w:tmpl w:val="0DF0F536"/>
    <w:lvl w:ilvl="0" w:tplc="6D667F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07F31"/>
    <w:multiLevelType w:val="hybridMultilevel"/>
    <w:tmpl w:val="599E9B7C"/>
    <w:lvl w:ilvl="0" w:tplc="1898E26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4949"/>
    <w:multiLevelType w:val="hybridMultilevel"/>
    <w:tmpl w:val="4880B9B2"/>
    <w:lvl w:ilvl="0" w:tplc="2E802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10D"/>
    <w:multiLevelType w:val="hybridMultilevel"/>
    <w:tmpl w:val="44748F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47248"/>
    <w:multiLevelType w:val="hybridMultilevel"/>
    <w:tmpl w:val="B81E032A"/>
    <w:lvl w:ilvl="0" w:tplc="1E0AB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7EC8"/>
    <w:multiLevelType w:val="hybridMultilevel"/>
    <w:tmpl w:val="05BC4FD2"/>
    <w:lvl w:ilvl="0" w:tplc="6D667F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1687A"/>
    <w:multiLevelType w:val="hybridMultilevel"/>
    <w:tmpl w:val="234A1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4AE6"/>
    <w:multiLevelType w:val="hybridMultilevel"/>
    <w:tmpl w:val="450A0400"/>
    <w:lvl w:ilvl="0" w:tplc="541E89DE">
      <w:start w:val="8"/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3ED3694D"/>
    <w:multiLevelType w:val="hybridMultilevel"/>
    <w:tmpl w:val="E69A3872"/>
    <w:lvl w:ilvl="0" w:tplc="6D667F06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28E7193"/>
    <w:multiLevelType w:val="hybridMultilevel"/>
    <w:tmpl w:val="CDACD840"/>
    <w:lvl w:ilvl="0" w:tplc="6D667F0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3D809AE"/>
    <w:multiLevelType w:val="hybridMultilevel"/>
    <w:tmpl w:val="0CC07626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7E7"/>
    <w:multiLevelType w:val="hybridMultilevel"/>
    <w:tmpl w:val="7138D256"/>
    <w:lvl w:ilvl="0" w:tplc="6D667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B4098"/>
    <w:multiLevelType w:val="hybridMultilevel"/>
    <w:tmpl w:val="992811B4"/>
    <w:lvl w:ilvl="0" w:tplc="6D667F0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046F6"/>
    <w:multiLevelType w:val="hybridMultilevel"/>
    <w:tmpl w:val="2918FEAA"/>
    <w:lvl w:ilvl="0" w:tplc="6D667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7B1B"/>
    <w:multiLevelType w:val="hybridMultilevel"/>
    <w:tmpl w:val="FE22FE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0571F"/>
    <w:multiLevelType w:val="hybridMultilevel"/>
    <w:tmpl w:val="D06EA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386F"/>
    <w:multiLevelType w:val="hybridMultilevel"/>
    <w:tmpl w:val="54DCD9C8"/>
    <w:lvl w:ilvl="0" w:tplc="541E89D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3AD1280"/>
    <w:multiLevelType w:val="hybridMultilevel"/>
    <w:tmpl w:val="EB7E06AA"/>
    <w:lvl w:ilvl="0" w:tplc="6D667F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8402C"/>
    <w:multiLevelType w:val="hybridMultilevel"/>
    <w:tmpl w:val="37BEF146"/>
    <w:lvl w:ilvl="0" w:tplc="541E8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E89DE">
      <w:start w:val="8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64CEE"/>
    <w:multiLevelType w:val="hybridMultilevel"/>
    <w:tmpl w:val="2940C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D02D5"/>
    <w:multiLevelType w:val="hybridMultilevel"/>
    <w:tmpl w:val="A62A3CF2"/>
    <w:lvl w:ilvl="0" w:tplc="6D667F0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9"/>
  </w:num>
  <w:num w:numId="5">
    <w:abstractNumId w:val="11"/>
  </w:num>
  <w:num w:numId="6">
    <w:abstractNumId w:val="26"/>
  </w:num>
  <w:num w:numId="7">
    <w:abstractNumId w:val="18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23"/>
  </w:num>
  <w:num w:numId="16">
    <w:abstractNumId w:val="24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25"/>
  </w:num>
  <w:num w:numId="22">
    <w:abstractNumId w:val="5"/>
  </w:num>
  <w:num w:numId="23">
    <w:abstractNumId w:val="12"/>
  </w:num>
  <w:num w:numId="24">
    <w:abstractNumId w:val="21"/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B5"/>
    <w:rsid w:val="00005B32"/>
    <w:rsid w:val="000131BB"/>
    <w:rsid w:val="00033E4F"/>
    <w:rsid w:val="000550B1"/>
    <w:rsid w:val="00057C85"/>
    <w:rsid w:val="00075FC6"/>
    <w:rsid w:val="000765F0"/>
    <w:rsid w:val="00084EEF"/>
    <w:rsid w:val="000858AB"/>
    <w:rsid w:val="00092C67"/>
    <w:rsid w:val="00096182"/>
    <w:rsid w:val="000974BC"/>
    <w:rsid w:val="000C0FCE"/>
    <w:rsid w:val="000F6CBE"/>
    <w:rsid w:val="00146BE4"/>
    <w:rsid w:val="00157C5F"/>
    <w:rsid w:val="00191717"/>
    <w:rsid w:val="00194FB1"/>
    <w:rsid w:val="001C08C5"/>
    <w:rsid w:val="001C11B8"/>
    <w:rsid w:val="001D351E"/>
    <w:rsid w:val="00211123"/>
    <w:rsid w:val="00232111"/>
    <w:rsid w:val="002362A6"/>
    <w:rsid w:val="00240E5B"/>
    <w:rsid w:val="00251D59"/>
    <w:rsid w:val="00274E39"/>
    <w:rsid w:val="002A136E"/>
    <w:rsid w:val="002A6120"/>
    <w:rsid w:val="002B7FDF"/>
    <w:rsid w:val="002C2127"/>
    <w:rsid w:val="002E1973"/>
    <w:rsid w:val="00306CF0"/>
    <w:rsid w:val="0032475B"/>
    <w:rsid w:val="00326B87"/>
    <w:rsid w:val="00327982"/>
    <w:rsid w:val="00332CA5"/>
    <w:rsid w:val="00375815"/>
    <w:rsid w:val="00377283"/>
    <w:rsid w:val="003938FF"/>
    <w:rsid w:val="00393FA3"/>
    <w:rsid w:val="003A798D"/>
    <w:rsid w:val="003B081C"/>
    <w:rsid w:val="003C0D66"/>
    <w:rsid w:val="003C1343"/>
    <w:rsid w:val="003C55F9"/>
    <w:rsid w:val="003E5B51"/>
    <w:rsid w:val="003E7225"/>
    <w:rsid w:val="004002F5"/>
    <w:rsid w:val="00400D42"/>
    <w:rsid w:val="00410DF8"/>
    <w:rsid w:val="00415E40"/>
    <w:rsid w:val="00437D6D"/>
    <w:rsid w:val="00443D7E"/>
    <w:rsid w:val="00475B8D"/>
    <w:rsid w:val="004A6521"/>
    <w:rsid w:val="004E08C8"/>
    <w:rsid w:val="004F5201"/>
    <w:rsid w:val="00525F0C"/>
    <w:rsid w:val="00553947"/>
    <w:rsid w:val="0056506E"/>
    <w:rsid w:val="005710B7"/>
    <w:rsid w:val="00571253"/>
    <w:rsid w:val="005911B7"/>
    <w:rsid w:val="005A5A41"/>
    <w:rsid w:val="005B20C7"/>
    <w:rsid w:val="005B3C84"/>
    <w:rsid w:val="005D0A09"/>
    <w:rsid w:val="005D0A9E"/>
    <w:rsid w:val="005F48C6"/>
    <w:rsid w:val="005F6A25"/>
    <w:rsid w:val="0060770D"/>
    <w:rsid w:val="0066762C"/>
    <w:rsid w:val="0067510A"/>
    <w:rsid w:val="00676764"/>
    <w:rsid w:val="00685DB5"/>
    <w:rsid w:val="006C6F2B"/>
    <w:rsid w:val="006D3482"/>
    <w:rsid w:val="0071449E"/>
    <w:rsid w:val="007172AE"/>
    <w:rsid w:val="00722F55"/>
    <w:rsid w:val="00735A5D"/>
    <w:rsid w:val="0074730E"/>
    <w:rsid w:val="00752020"/>
    <w:rsid w:val="00777F24"/>
    <w:rsid w:val="007A2ECE"/>
    <w:rsid w:val="007A65FB"/>
    <w:rsid w:val="007C1BC1"/>
    <w:rsid w:val="007C5AFA"/>
    <w:rsid w:val="007E26A4"/>
    <w:rsid w:val="00802754"/>
    <w:rsid w:val="00803EB5"/>
    <w:rsid w:val="00804245"/>
    <w:rsid w:val="00812847"/>
    <w:rsid w:val="00845F5A"/>
    <w:rsid w:val="00853C7F"/>
    <w:rsid w:val="008571BD"/>
    <w:rsid w:val="00864EF8"/>
    <w:rsid w:val="00865CA0"/>
    <w:rsid w:val="0089376C"/>
    <w:rsid w:val="008B6BF5"/>
    <w:rsid w:val="008C0E8C"/>
    <w:rsid w:val="0090507F"/>
    <w:rsid w:val="009260FA"/>
    <w:rsid w:val="00956745"/>
    <w:rsid w:val="00992226"/>
    <w:rsid w:val="009B4CB1"/>
    <w:rsid w:val="009D5898"/>
    <w:rsid w:val="009F14C1"/>
    <w:rsid w:val="00A04354"/>
    <w:rsid w:val="00A11EDE"/>
    <w:rsid w:val="00A21436"/>
    <w:rsid w:val="00A25213"/>
    <w:rsid w:val="00A305E8"/>
    <w:rsid w:val="00A51896"/>
    <w:rsid w:val="00A77B32"/>
    <w:rsid w:val="00A87E58"/>
    <w:rsid w:val="00AB64CC"/>
    <w:rsid w:val="00AE23FD"/>
    <w:rsid w:val="00AE4038"/>
    <w:rsid w:val="00B03043"/>
    <w:rsid w:val="00B06399"/>
    <w:rsid w:val="00B17479"/>
    <w:rsid w:val="00B20ECE"/>
    <w:rsid w:val="00B24FC3"/>
    <w:rsid w:val="00B316B5"/>
    <w:rsid w:val="00B325A4"/>
    <w:rsid w:val="00B6746D"/>
    <w:rsid w:val="00B83D1F"/>
    <w:rsid w:val="00B85D9A"/>
    <w:rsid w:val="00B9778A"/>
    <w:rsid w:val="00BA46CA"/>
    <w:rsid w:val="00BB7D18"/>
    <w:rsid w:val="00BD554F"/>
    <w:rsid w:val="00BD5D4A"/>
    <w:rsid w:val="00BD65DA"/>
    <w:rsid w:val="00BD7DAD"/>
    <w:rsid w:val="00BF32B2"/>
    <w:rsid w:val="00BF7DA4"/>
    <w:rsid w:val="00C008BF"/>
    <w:rsid w:val="00C04EA9"/>
    <w:rsid w:val="00C157CE"/>
    <w:rsid w:val="00C45A41"/>
    <w:rsid w:val="00C63592"/>
    <w:rsid w:val="00C83A73"/>
    <w:rsid w:val="00CA587A"/>
    <w:rsid w:val="00CB0E5B"/>
    <w:rsid w:val="00CB120B"/>
    <w:rsid w:val="00CB4140"/>
    <w:rsid w:val="00CF695C"/>
    <w:rsid w:val="00D0612A"/>
    <w:rsid w:val="00D23910"/>
    <w:rsid w:val="00D24ADE"/>
    <w:rsid w:val="00D30F09"/>
    <w:rsid w:val="00D467D9"/>
    <w:rsid w:val="00D533CC"/>
    <w:rsid w:val="00D61AC2"/>
    <w:rsid w:val="00D6577E"/>
    <w:rsid w:val="00D7153B"/>
    <w:rsid w:val="00D7345E"/>
    <w:rsid w:val="00DA7EA2"/>
    <w:rsid w:val="00DC4374"/>
    <w:rsid w:val="00DE5612"/>
    <w:rsid w:val="00E11514"/>
    <w:rsid w:val="00E1456B"/>
    <w:rsid w:val="00E15174"/>
    <w:rsid w:val="00E2299D"/>
    <w:rsid w:val="00E3569B"/>
    <w:rsid w:val="00E43827"/>
    <w:rsid w:val="00E64676"/>
    <w:rsid w:val="00E7181F"/>
    <w:rsid w:val="00E86F33"/>
    <w:rsid w:val="00E91072"/>
    <w:rsid w:val="00EC1287"/>
    <w:rsid w:val="00EC158E"/>
    <w:rsid w:val="00ED53CE"/>
    <w:rsid w:val="00EE1B01"/>
    <w:rsid w:val="00EF6913"/>
    <w:rsid w:val="00F00882"/>
    <w:rsid w:val="00F048EA"/>
    <w:rsid w:val="00F05E6C"/>
    <w:rsid w:val="00F206D9"/>
    <w:rsid w:val="00F20A35"/>
    <w:rsid w:val="00F23650"/>
    <w:rsid w:val="00F413CC"/>
    <w:rsid w:val="00F41970"/>
    <w:rsid w:val="00F72E00"/>
    <w:rsid w:val="00F73E32"/>
    <w:rsid w:val="00F93205"/>
    <w:rsid w:val="00F95ABB"/>
    <w:rsid w:val="00FA20B2"/>
    <w:rsid w:val="00FC6382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EAC0"/>
  <w15:docId w15:val="{AC3E24A3-5325-4A68-A20C-8D1B2EB9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C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8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CA"/>
  </w:style>
  <w:style w:type="paragraph" w:styleId="Footer">
    <w:name w:val="footer"/>
    <w:basedOn w:val="Normal"/>
    <w:link w:val="FooterChar"/>
    <w:uiPriority w:val="99"/>
    <w:unhideWhenUsed/>
    <w:rsid w:val="00BA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alcommunitydirecto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Wiley</dc:creator>
  <cp:lastModifiedBy>Natasha Bagnall</cp:lastModifiedBy>
  <cp:revision>5</cp:revision>
  <cp:lastPrinted>2019-05-10T13:14:00Z</cp:lastPrinted>
  <dcterms:created xsi:type="dcterms:W3CDTF">2020-10-20T12:36:00Z</dcterms:created>
  <dcterms:modified xsi:type="dcterms:W3CDTF">2020-11-06T15:46:00Z</dcterms:modified>
</cp:coreProperties>
</file>