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9C" w:rsidRDefault="00AB219C" w:rsidP="00AB219C">
      <w:pPr>
        <w:spacing w:before="120" w:after="120" w:line="360" w:lineRule="auto"/>
        <w:jc w:val="center"/>
        <w:rPr>
          <w:rFonts w:ascii="Arial" w:hAnsi="Arial" w:cs="Arial"/>
          <w:b/>
          <w:sz w:val="28"/>
        </w:rPr>
      </w:pPr>
      <w:r w:rsidRPr="00D149F3">
        <w:rPr>
          <w:rFonts w:ascii="Arial" w:hAnsi="Arial" w:cs="Arial"/>
          <w:b/>
          <w:sz w:val="28"/>
        </w:rPr>
        <w:t xml:space="preserve">Fingal PPN </w:t>
      </w:r>
      <w:r>
        <w:rPr>
          <w:rFonts w:ascii="Arial" w:hAnsi="Arial" w:cs="Arial"/>
          <w:b/>
          <w:sz w:val="28"/>
        </w:rPr>
        <w:t>Constitution Explanatory Note</w:t>
      </w:r>
    </w:p>
    <w:p w:rsidR="00AB219C" w:rsidRPr="00AB219C" w:rsidRDefault="00AB219C" w:rsidP="00AB219C">
      <w:pPr>
        <w:spacing w:before="120" w:after="120" w:line="360" w:lineRule="auto"/>
        <w:rPr>
          <w:rFonts w:ascii="Arial" w:hAnsi="Arial" w:cs="Arial"/>
          <w:szCs w:val="24"/>
        </w:rPr>
      </w:pPr>
      <w:r>
        <w:rPr>
          <w:rFonts w:ascii="Arial" w:hAnsi="Arial" w:cs="Arial"/>
        </w:rPr>
        <w:t>The purpo</w:t>
      </w:r>
      <w:r w:rsidR="002B2F4E">
        <w:rPr>
          <w:rFonts w:ascii="Arial" w:hAnsi="Arial" w:cs="Arial"/>
        </w:rPr>
        <w:t>se of this note is to provide a summary</w:t>
      </w:r>
      <w:r>
        <w:rPr>
          <w:rFonts w:ascii="Arial" w:hAnsi="Arial" w:cs="Arial"/>
        </w:rPr>
        <w:t xml:space="preserve"> overview of</w:t>
      </w:r>
      <w:r w:rsidR="002B2F4E">
        <w:rPr>
          <w:rFonts w:ascii="Arial" w:hAnsi="Arial" w:cs="Arial"/>
        </w:rPr>
        <w:t xml:space="preserve"> contents of the new PPN Constitution adopted on 8</w:t>
      </w:r>
      <w:r w:rsidR="002B2F4E" w:rsidRPr="002B2F4E">
        <w:rPr>
          <w:rFonts w:ascii="Arial" w:hAnsi="Arial" w:cs="Arial"/>
          <w:vertAlign w:val="superscript"/>
        </w:rPr>
        <w:t>th</w:t>
      </w:r>
      <w:r w:rsidR="002B2F4E">
        <w:rPr>
          <w:rFonts w:ascii="Arial" w:hAnsi="Arial" w:cs="Arial"/>
        </w:rPr>
        <w:t xml:space="preserve"> May 2019 and a summary overview of how sections in the new Constitution differ from sections of the old constitution. Comments and proposals on the new constitution are welcomed from members of the PPN for consideration by the Constitution Steering Group until </w:t>
      </w:r>
      <w:r w:rsidR="00D661DB">
        <w:rPr>
          <w:rFonts w:ascii="Arial" w:hAnsi="Arial" w:cs="Arial"/>
        </w:rPr>
        <w:t xml:space="preserve">midday on </w:t>
      </w:r>
      <w:r w:rsidR="002B2F4E">
        <w:rPr>
          <w:rFonts w:ascii="Arial" w:hAnsi="Arial" w:cs="Arial"/>
        </w:rPr>
        <w:t>15</w:t>
      </w:r>
      <w:r w:rsidR="002B2F4E" w:rsidRPr="002B2F4E">
        <w:rPr>
          <w:rFonts w:ascii="Arial" w:hAnsi="Arial" w:cs="Arial"/>
          <w:vertAlign w:val="superscript"/>
        </w:rPr>
        <w:t>th</w:t>
      </w:r>
      <w:r w:rsidR="00D661DB">
        <w:rPr>
          <w:rFonts w:ascii="Arial" w:hAnsi="Arial" w:cs="Arial"/>
        </w:rPr>
        <w:t xml:space="preserve"> August 2019 to </w:t>
      </w:r>
      <w:hyperlink r:id="rId6" w:history="1">
        <w:r w:rsidR="00D661DB" w:rsidRPr="000D7013">
          <w:rPr>
            <w:rStyle w:val="Hyperlink"/>
            <w:rFonts w:ascii="Arial" w:hAnsi="Arial" w:cs="Arial"/>
          </w:rPr>
          <w:t>ppn@fingal.ie</w:t>
        </w:r>
      </w:hyperlink>
      <w:r w:rsidR="00D661DB">
        <w:rPr>
          <w:rFonts w:ascii="Arial" w:hAnsi="Arial" w:cs="Arial"/>
        </w:rPr>
        <w:t xml:space="preserve"> or by post to Fingal PPN, Community Department, Civic Offices, Grove Road, Blanchardstown, Dublin 15, or by attendance at </w:t>
      </w:r>
      <w:proofErr w:type="spellStart"/>
      <w:proofErr w:type="gramStart"/>
      <w:r w:rsidR="00D661DB">
        <w:rPr>
          <w:rFonts w:ascii="Arial" w:hAnsi="Arial" w:cs="Arial"/>
        </w:rPr>
        <w:t>a</w:t>
      </w:r>
      <w:proofErr w:type="spellEnd"/>
      <w:proofErr w:type="gramEnd"/>
      <w:r w:rsidR="00D661DB">
        <w:rPr>
          <w:rFonts w:ascii="Arial" w:hAnsi="Arial" w:cs="Arial"/>
        </w:rPr>
        <w:t xml:space="preserve"> Open Meeting (advertised on fingalppn.ie, registration required). </w:t>
      </w:r>
      <w:bookmarkStart w:id="0" w:name="_GoBack"/>
      <w:bookmarkEnd w:id="0"/>
    </w:p>
    <w:tbl>
      <w:tblPr>
        <w:tblStyle w:val="TableGrid"/>
        <w:tblW w:w="15701" w:type="dxa"/>
        <w:tblLook w:val="04A0" w:firstRow="1" w:lastRow="0" w:firstColumn="1" w:lastColumn="0" w:noHBand="0" w:noVBand="1"/>
      </w:tblPr>
      <w:tblGrid>
        <w:gridCol w:w="2592"/>
        <w:gridCol w:w="6588"/>
        <w:gridCol w:w="6521"/>
      </w:tblGrid>
      <w:tr w:rsidR="001E60BB" w:rsidRPr="00031881" w:rsidTr="002B2F4E">
        <w:trPr>
          <w:tblHeader/>
        </w:trPr>
        <w:tc>
          <w:tcPr>
            <w:tcW w:w="2592" w:type="dxa"/>
            <w:shd w:val="clear" w:color="auto" w:fill="000000" w:themeFill="text1"/>
          </w:tcPr>
          <w:p w:rsidR="001E60BB" w:rsidRPr="00031881" w:rsidRDefault="001E60BB" w:rsidP="00327B89">
            <w:pPr>
              <w:spacing w:before="120" w:after="120" w:line="360" w:lineRule="auto"/>
              <w:rPr>
                <w:rFonts w:ascii="Arial" w:hAnsi="Arial" w:cs="Arial"/>
                <w:b/>
                <w:color w:val="FFFFFF" w:themeColor="background1"/>
              </w:rPr>
            </w:pPr>
            <w:r>
              <w:rPr>
                <w:rFonts w:ascii="Arial" w:hAnsi="Arial" w:cs="Arial"/>
                <w:b/>
                <w:color w:val="FFFFFF" w:themeColor="background1"/>
              </w:rPr>
              <w:t xml:space="preserve">Section </w:t>
            </w:r>
          </w:p>
        </w:tc>
        <w:tc>
          <w:tcPr>
            <w:tcW w:w="6588" w:type="dxa"/>
            <w:shd w:val="clear" w:color="auto" w:fill="000000" w:themeFill="text1"/>
          </w:tcPr>
          <w:p w:rsidR="001E60BB" w:rsidRPr="00031881" w:rsidRDefault="001E60BB" w:rsidP="00327B89">
            <w:pPr>
              <w:spacing w:before="120" w:after="120" w:line="360" w:lineRule="auto"/>
              <w:rPr>
                <w:rFonts w:ascii="Arial" w:hAnsi="Arial" w:cs="Arial"/>
                <w:b/>
                <w:color w:val="FFFFFF" w:themeColor="background1"/>
              </w:rPr>
            </w:pPr>
            <w:r>
              <w:rPr>
                <w:rFonts w:ascii="Arial" w:hAnsi="Arial" w:cs="Arial"/>
                <w:b/>
                <w:color w:val="FFFFFF" w:themeColor="background1"/>
              </w:rPr>
              <w:t>Comment on new constitution</w:t>
            </w:r>
          </w:p>
        </w:tc>
        <w:tc>
          <w:tcPr>
            <w:tcW w:w="6521" w:type="dxa"/>
            <w:shd w:val="clear" w:color="auto" w:fill="000000" w:themeFill="text1"/>
          </w:tcPr>
          <w:p w:rsidR="001E60BB" w:rsidRDefault="001E60BB" w:rsidP="00327B89">
            <w:pPr>
              <w:spacing w:before="120" w:after="120" w:line="360" w:lineRule="auto"/>
              <w:rPr>
                <w:rFonts w:ascii="Arial" w:hAnsi="Arial" w:cs="Arial"/>
                <w:b/>
                <w:color w:val="FFFFFF" w:themeColor="background1"/>
              </w:rPr>
            </w:pPr>
            <w:r>
              <w:rPr>
                <w:rFonts w:ascii="Arial" w:hAnsi="Arial" w:cs="Arial"/>
                <w:b/>
                <w:color w:val="FFFFFF" w:themeColor="background1"/>
              </w:rPr>
              <w:t>Difference from old constitution</w:t>
            </w:r>
          </w:p>
        </w:tc>
      </w:tr>
      <w:tr w:rsidR="001E60BB" w:rsidTr="002B2F4E">
        <w:tc>
          <w:tcPr>
            <w:tcW w:w="2592" w:type="dxa"/>
          </w:tcPr>
          <w:p w:rsidR="001E60BB" w:rsidRPr="00AB219C" w:rsidRDefault="001E60BB" w:rsidP="00AB219C">
            <w:pPr>
              <w:pStyle w:val="ListParagraph"/>
              <w:numPr>
                <w:ilvl w:val="0"/>
                <w:numId w:val="6"/>
              </w:numPr>
              <w:spacing w:before="120" w:after="120" w:line="360" w:lineRule="auto"/>
              <w:rPr>
                <w:rFonts w:ascii="Arial" w:hAnsi="Arial" w:cs="Arial"/>
                <w:b/>
              </w:rPr>
            </w:pPr>
            <w:r w:rsidRPr="00AB219C">
              <w:rPr>
                <w:rFonts w:ascii="Arial" w:hAnsi="Arial" w:cs="Arial"/>
                <w:b/>
              </w:rPr>
              <w:t>Preamble</w:t>
            </w:r>
          </w:p>
        </w:tc>
        <w:tc>
          <w:tcPr>
            <w:tcW w:w="6588" w:type="dxa"/>
          </w:tcPr>
          <w:p w:rsidR="001E60BB" w:rsidRDefault="001E60BB" w:rsidP="00327B89">
            <w:pPr>
              <w:spacing w:before="120" w:after="120" w:line="360" w:lineRule="auto"/>
              <w:rPr>
                <w:rFonts w:ascii="Arial" w:hAnsi="Arial" w:cs="Arial"/>
              </w:rPr>
            </w:pPr>
            <w:r>
              <w:rPr>
                <w:rFonts w:ascii="Arial" w:hAnsi="Arial" w:cs="Arial"/>
              </w:rPr>
              <w:t xml:space="preserve">Provides policy context for the establishment of PPNs. </w:t>
            </w:r>
          </w:p>
        </w:tc>
        <w:tc>
          <w:tcPr>
            <w:tcW w:w="6521" w:type="dxa"/>
          </w:tcPr>
          <w:p w:rsidR="001E60BB" w:rsidRDefault="001E60BB" w:rsidP="00327B89">
            <w:pPr>
              <w:spacing w:before="120" w:after="120" w:line="360" w:lineRule="auto"/>
              <w:rPr>
                <w:rFonts w:ascii="Arial" w:hAnsi="Arial" w:cs="Arial"/>
              </w:rPr>
            </w:pPr>
            <w:r>
              <w:rPr>
                <w:rFonts w:ascii="Arial" w:hAnsi="Arial" w:cs="Arial"/>
              </w:rPr>
              <w:t>Provides more detail, no material difference.</w:t>
            </w:r>
          </w:p>
        </w:tc>
      </w:tr>
      <w:tr w:rsidR="001E60BB" w:rsidTr="002B2F4E">
        <w:tc>
          <w:tcPr>
            <w:tcW w:w="2592" w:type="dxa"/>
          </w:tcPr>
          <w:p w:rsidR="001E60BB" w:rsidRPr="00AB219C" w:rsidRDefault="001E60BB" w:rsidP="00AB219C">
            <w:pPr>
              <w:pStyle w:val="ListParagraph"/>
              <w:numPr>
                <w:ilvl w:val="0"/>
                <w:numId w:val="6"/>
              </w:numPr>
              <w:spacing w:before="120" w:after="120" w:line="360" w:lineRule="auto"/>
              <w:rPr>
                <w:rFonts w:ascii="Arial" w:hAnsi="Arial" w:cs="Arial"/>
                <w:b/>
              </w:rPr>
            </w:pPr>
            <w:r>
              <w:rPr>
                <w:rFonts w:ascii="Arial" w:hAnsi="Arial" w:cs="Arial"/>
                <w:b/>
              </w:rPr>
              <w:t>Name</w:t>
            </w:r>
          </w:p>
        </w:tc>
        <w:tc>
          <w:tcPr>
            <w:tcW w:w="6588" w:type="dxa"/>
          </w:tcPr>
          <w:p w:rsidR="001E60BB" w:rsidRDefault="001E60BB" w:rsidP="00327B89">
            <w:pPr>
              <w:spacing w:before="120" w:after="120" w:line="360" w:lineRule="auto"/>
              <w:rPr>
                <w:rFonts w:ascii="Arial" w:hAnsi="Arial" w:cs="Arial"/>
              </w:rPr>
            </w:pPr>
            <w:r>
              <w:rPr>
                <w:rFonts w:ascii="Arial" w:hAnsi="Arial" w:cs="Arial"/>
              </w:rPr>
              <w:t>Provides for the name of the PPN.</w:t>
            </w:r>
          </w:p>
        </w:tc>
        <w:tc>
          <w:tcPr>
            <w:tcW w:w="6521" w:type="dxa"/>
          </w:tcPr>
          <w:p w:rsidR="001E60BB" w:rsidRDefault="001E60BB" w:rsidP="00327B89">
            <w:pPr>
              <w:spacing w:before="120" w:after="120" w:line="360" w:lineRule="auto"/>
              <w:rPr>
                <w:rFonts w:ascii="Arial" w:hAnsi="Arial" w:cs="Arial"/>
              </w:rPr>
            </w:pPr>
            <w:r>
              <w:rPr>
                <w:rFonts w:ascii="Arial" w:hAnsi="Arial" w:cs="Arial"/>
              </w:rPr>
              <w:t>No material difference.</w:t>
            </w:r>
          </w:p>
        </w:tc>
      </w:tr>
      <w:tr w:rsidR="001E60BB" w:rsidTr="002B2F4E">
        <w:tc>
          <w:tcPr>
            <w:tcW w:w="2592" w:type="dxa"/>
          </w:tcPr>
          <w:p w:rsidR="001E60BB" w:rsidRDefault="001E60BB" w:rsidP="00AB219C">
            <w:pPr>
              <w:pStyle w:val="ListParagraph"/>
              <w:numPr>
                <w:ilvl w:val="0"/>
                <w:numId w:val="6"/>
              </w:numPr>
              <w:spacing w:before="120" w:after="120" w:line="360" w:lineRule="auto"/>
              <w:rPr>
                <w:rFonts w:ascii="Arial" w:hAnsi="Arial" w:cs="Arial"/>
                <w:b/>
              </w:rPr>
            </w:pPr>
            <w:r>
              <w:rPr>
                <w:rFonts w:ascii="Arial" w:hAnsi="Arial" w:cs="Arial"/>
                <w:b/>
              </w:rPr>
              <w:t>Aims</w:t>
            </w:r>
          </w:p>
        </w:tc>
        <w:tc>
          <w:tcPr>
            <w:tcW w:w="6588" w:type="dxa"/>
          </w:tcPr>
          <w:p w:rsidR="001E60BB" w:rsidRDefault="001E60BB" w:rsidP="00327B89">
            <w:pPr>
              <w:spacing w:before="120" w:after="120" w:line="360" w:lineRule="auto"/>
              <w:rPr>
                <w:rFonts w:ascii="Arial" w:hAnsi="Arial" w:cs="Arial"/>
              </w:rPr>
            </w:pPr>
            <w:r>
              <w:rPr>
                <w:rFonts w:ascii="Arial" w:hAnsi="Arial" w:cs="Arial"/>
              </w:rPr>
              <w:t>Outlines the aims of the PPN.</w:t>
            </w:r>
          </w:p>
        </w:tc>
        <w:tc>
          <w:tcPr>
            <w:tcW w:w="6521" w:type="dxa"/>
          </w:tcPr>
          <w:p w:rsidR="001E60BB" w:rsidRDefault="00ED4756" w:rsidP="00327B89">
            <w:pPr>
              <w:spacing w:before="120" w:after="120" w:line="360" w:lineRule="auto"/>
              <w:rPr>
                <w:rFonts w:ascii="Arial" w:hAnsi="Arial" w:cs="Arial"/>
              </w:rPr>
            </w:pPr>
            <w:r>
              <w:rPr>
                <w:rFonts w:ascii="Arial" w:hAnsi="Arial" w:cs="Arial"/>
              </w:rPr>
              <w:t xml:space="preserve">Retains original aims with added aims that reinforce the advocacy efforts of the PPN. </w:t>
            </w:r>
          </w:p>
        </w:tc>
      </w:tr>
      <w:tr w:rsidR="001E60BB" w:rsidTr="002B2F4E">
        <w:tc>
          <w:tcPr>
            <w:tcW w:w="2592" w:type="dxa"/>
          </w:tcPr>
          <w:p w:rsidR="001E60BB" w:rsidRDefault="001E60BB" w:rsidP="00AB219C">
            <w:pPr>
              <w:pStyle w:val="ListParagraph"/>
              <w:numPr>
                <w:ilvl w:val="0"/>
                <w:numId w:val="6"/>
              </w:numPr>
              <w:spacing w:before="120" w:after="120" w:line="360" w:lineRule="auto"/>
              <w:rPr>
                <w:rFonts w:ascii="Arial" w:hAnsi="Arial" w:cs="Arial"/>
                <w:b/>
              </w:rPr>
            </w:pPr>
            <w:r>
              <w:rPr>
                <w:rFonts w:ascii="Arial" w:hAnsi="Arial" w:cs="Arial"/>
                <w:b/>
              </w:rPr>
              <w:t>Vision, Values and Principles</w:t>
            </w:r>
          </w:p>
        </w:tc>
        <w:tc>
          <w:tcPr>
            <w:tcW w:w="6588" w:type="dxa"/>
          </w:tcPr>
          <w:p w:rsidR="001E60BB" w:rsidRDefault="001E60BB" w:rsidP="00327B89">
            <w:pPr>
              <w:spacing w:before="120" w:after="120" w:line="360" w:lineRule="auto"/>
              <w:rPr>
                <w:rFonts w:ascii="Arial" w:hAnsi="Arial" w:cs="Arial"/>
              </w:rPr>
            </w:pPr>
            <w:r>
              <w:rPr>
                <w:rFonts w:ascii="Arial" w:hAnsi="Arial" w:cs="Arial"/>
              </w:rPr>
              <w:t>Outlines the vision, values and principles of the PPN.</w:t>
            </w:r>
          </w:p>
        </w:tc>
        <w:tc>
          <w:tcPr>
            <w:tcW w:w="6521" w:type="dxa"/>
          </w:tcPr>
          <w:p w:rsidR="001E60BB" w:rsidRDefault="00ED4756" w:rsidP="00327B89">
            <w:pPr>
              <w:spacing w:before="120" w:after="120" w:line="360" w:lineRule="auto"/>
              <w:rPr>
                <w:rFonts w:ascii="Arial" w:hAnsi="Arial" w:cs="Arial"/>
              </w:rPr>
            </w:pPr>
            <w:r>
              <w:rPr>
                <w:rFonts w:ascii="Arial" w:hAnsi="Arial" w:cs="Arial"/>
              </w:rPr>
              <w:t xml:space="preserve">Provides more detailed explanation. </w:t>
            </w:r>
            <w:r>
              <w:rPr>
                <w:rFonts w:ascii="Arial" w:hAnsi="Arial" w:cs="Arial"/>
              </w:rPr>
              <w:t>No material difference.</w:t>
            </w:r>
          </w:p>
        </w:tc>
      </w:tr>
      <w:tr w:rsidR="001E60BB" w:rsidTr="002B2F4E">
        <w:tc>
          <w:tcPr>
            <w:tcW w:w="2592" w:type="dxa"/>
          </w:tcPr>
          <w:p w:rsidR="001E60BB" w:rsidRDefault="001E60BB" w:rsidP="00AB219C">
            <w:pPr>
              <w:pStyle w:val="ListParagraph"/>
              <w:numPr>
                <w:ilvl w:val="0"/>
                <w:numId w:val="6"/>
              </w:numPr>
              <w:spacing w:before="120" w:after="120" w:line="360" w:lineRule="auto"/>
              <w:rPr>
                <w:rFonts w:ascii="Arial" w:hAnsi="Arial" w:cs="Arial"/>
                <w:b/>
              </w:rPr>
            </w:pPr>
            <w:r>
              <w:rPr>
                <w:rFonts w:ascii="Arial" w:hAnsi="Arial" w:cs="Arial"/>
                <w:b/>
              </w:rPr>
              <w:t xml:space="preserve">Membership </w:t>
            </w:r>
          </w:p>
        </w:tc>
        <w:tc>
          <w:tcPr>
            <w:tcW w:w="6588" w:type="dxa"/>
          </w:tcPr>
          <w:p w:rsidR="001E60BB" w:rsidRDefault="001E60BB" w:rsidP="00327B89">
            <w:pPr>
              <w:spacing w:before="120" w:after="120" w:line="360" w:lineRule="auto"/>
              <w:rPr>
                <w:rFonts w:ascii="Arial" w:hAnsi="Arial" w:cs="Arial"/>
              </w:rPr>
            </w:pPr>
            <w:r>
              <w:rPr>
                <w:rFonts w:ascii="Arial" w:hAnsi="Arial" w:cs="Arial"/>
              </w:rPr>
              <w:t xml:space="preserve">Outlines: </w:t>
            </w:r>
          </w:p>
          <w:p w:rsidR="001E60BB" w:rsidRDefault="001E60BB" w:rsidP="001E60BB">
            <w:pPr>
              <w:pStyle w:val="ListParagraph"/>
              <w:numPr>
                <w:ilvl w:val="0"/>
                <w:numId w:val="7"/>
              </w:numPr>
              <w:spacing w:before="120" w:after="120" w:line="360" w:lineRule="auto"/>
              <w:rPr>
                <w:rFonts w:ascii="Arial" w:hAnsi="Arial" w:cs="Arial"/>
              </w:rPr>
            </w:pPr>
            <w:r>
              <w:rPr>
                <w:rFonts w:ascii="Arial" w:hAnsi="Arial" w:cs="Arial"/>
              </w:rPr>
              <w:t xml:space="preserve">Full membership of the PPN, the criteria, term and registration process in relation to this. </w:t>
            </w:r>
          </w:p>
          <w:p w:rsidR="001E60BB" w:rsidRDefault="001E60BB" w:rsidP="001E60BB">
            <w:pPr>
              <w:pStyle w:val="ListParagraph"/>
              <w:numPr>
                <w:ilvl w:val="0"/>
                <w:numId w:val="7"/>
              </w:numPr>
              <w:spacing w:before="120" w:after="120" w:line="360" w:lineRule="auto"/>
              <w:rPr>
                <w:rFonts w:ascii="Arial" w:hAnsi="Arial" w:cs="Arial"/>
              </w:rPr>
            </w:pPr>
            <w:r>
              <w:rPr>
                <w:rFonts w:ascii="Arial" w:hAnsi="Arial" w:cs="Arial"/>
              </w:rPr>
              <w:t>Associate Membership of the PPN, the advantages, rights and criteria of associate members.</w:t>
            </w:r>
          </w:p>
          <w:p w:rsidR="00192EEF" w:rsidRPr="001E60BB" w:rsidRDefault="00192EEF" w:rsidP="001E60BB">
            <w:pPr>
              <w:pStyle w:val="ListParagraph"/>
              <w:numPr>
                <w:ilvl w:val="0"/>
                <w:numId w:val="7"/>
              </w:numPr>
              <w:spacing w:before="120" w:after="120" w:line="360" w:lineRule="auto"/>
              <w:rPr>
                <w:rFonts w:ascii="Arial" w:hAnsi="Arial" w:cs="Arial"/>
              </w:rPr>
            </w:pPr>
            <w:r>
              <w:rPr>
                <w:rFonts w:ascii="Arial" w:hAnsi="Arial" w:cs="Arial"/>
              </w:rPr>
              <w:t xml:space="preserve">Membership electoral colleges, a definition for each college. </w:t>
            </w:r>
          </w:p>
        </w:tc>
        <w:tc>
          <w:tcPr>
            <w:tcW w:w="6521" w:type="dxa"/>
          </w:tcPr>
          <w:p w:rsidR="001E60BB" w:rsidRDefault="00ED4756" w:rsidP="00327B89">
            <w:pPr>
              <w:spacing w:before="120" w:after="120" w:line="360" w:lineRule="auto"/>
              <w:rPr>
                <w:rFonts w:ascii="Arial" w:hAnsi="Arial" w:cs="Arial"/>
              </w:rPr>
            </w:pPr>
            <w:r>
              <w:rPr>
                <w:rFonts w:ascii="Arial" w:hAnsi="Arial" w:cs="Arial"/>
              </w:rPr>
              <w:t xml:space="preserve">Provides more information. </w:t>
            </w:r>
            <w:r w:rsidR="00192EEF">
              <w:rPr>
                <w:rFonts w:ascii="Arial" w:hAnsi="Arial" w:cs="Arial"/>
              </w:rPr>
              <w:t>No material difference.</w:t>
            </w:r>
          </w:p>
        </w:tc>
      </w:tr>
      <w:tr w:rsidR="001E60BB" w:rsidTr="002B2F4E">
        <w:tc>
          <w:tcPr>
            <w:tcW w:w="2592" w:type="dxa"/>
          </w:tcPr>
          <w:p w:rsidR="001E60BB" w:rsidRDefault="00192EEF" w:rsidP="00AB219C">
            <w:pPr>
              <w:pStyle w:val="ListParagraph"/>
              <w:numPr>
                <w:ilvl w:val="0"/>
                <w:numId w:val="6"/>
              </w:numPr>
              <w:spacing w:before="120" w:after="120" w:line="360" w:lineRule="auto"/>
              <w:rPr>
                <w:rFonts w:ascii="Arial" w:hAnsi="Arial" w:cs="Arial"/>
                <w:b/>
              </w:rPr>
            </w:pPr>
            <w:r>
              <w:rPr>
                <w:rFonts w:ascii="Arial" w:hAnsi="Arial" w:cs="Arial"/>
                <w:b/>
              </w:rPr>
              <w:t xml:space="preserve">Structure and Management </w:t>
            </w:r>
          </w:p>
        </w:tc>
        <w:tc>
          <w:tcPr>
            <w:tcW w:w="6588" w:type="dxa"/>
          </w:tcPr>
          <w:p w:rsidR="006347C8" w:rsidRDefault="006347C8" w:rsidP="00327B89">
            <w:pPr>
              <w:spacing w:before="120" w:after="120" w:line="360" w:lineRule="auto"/>
              <w:rPr>
                <w:rFonts w:ascii="Arial" w:hAnsi="Arial" w:cs="Arial"/>
              </w:rPr>
            </w:pPr>
            <w:r>
              <w:rPr>
                <w:rFonts w:ascii="Arial" w:hAnsi="Arial" w:cs="Arial"/>
              </w:rPr>
              <w:t>Outlines the role of each of the:</w:t>
            </w:r>
          </w:p>
          <w:p w:rsidR="001E60BB" w:rsidRPr="006347C8" w:rsidRDefault="006347C8" w:rsidP="006347C8">
            <w:pPr>
              <w:pStyle w:val="ListParagraph"/>
              <w:numPr>
                <w:ilvl w:val="0"/>
                <w:numId w:val="8"/>
              </w:numPr>
              <w:spacing w:before="120" w:after="120" w:line="360" w:lineRule="auto"/>
              <w:rPr>
                <w:rFonts w:ascii="Arial" w:hAnsi="Arial" w:cs="Arial"/>
              </w:rPr>
            </w:pPr>
            <w:r w:rsidRPr="006347C8">
              <w:rPr>
                <w:rFonts w:ascii="Arial" w:hAnsi="Arial" w:cs="Arial"/>
              </w:rPr>
              <w:t>Plenary</w:t>
            </w:r>
            <w:r>
              <w:rPr>
                <w:rFonts w:ascii="Arial" w:hAnsi="Arial" w:cs="Arial"/>
              </w:rPr>
              <w:t>, Secretariat and Linkage Groups.</w:t>
            </w:r>
          </w:p>
        </w:tc>
        <w:tc>
          <w:tcPr>
            <w:tcW w:w="6521" w:type="dxa"/>
          </w:tcPr>
          <w:p w:rsidR="006347C8" w:rsidRPr="002B2F4E" w:rsidRDefault="00ED4756" w:rsidP="00327B89">
            <w:pPr>
              <w:spacing w:before="120" w:after="120" w:line="360" w:lineRule="auto"/>
              <w:rPr>
                <w:rFonts w:ascii="Arial" w:hAnsi="Arial" w:cs="Arial"/>
              </w:rPr>
            </w:pPr>
            <w:r>
              <w:rPr>
                <w:rFonts w:ascii="Arial" w:hAnsi="Arial" w:cs="Arial"/>
              </w:rPr>
              <w:t>Section 5 and section 6 merged into one section. Provides clearer and more comprehensive outline of structures, responsibilities and functioning.</w:t>
            </w:r>
            <w:r w:rsidR="002B2F4E">
              <w:rPr>
                <w:rFonts w:ascii="Arial" w:hAnsi="Arial" w:cs="Arial"/>
              </w:rPr>
              <w:t xml:space="preserve"> Provides for setting up of a </w:t>
            </w:r>
            <w:r w:rsidR="002B2F4E">
              <w:rPr>
                <w:rFonts w:ascii="Arial" w:hAnsi="Arial" w:cs="Arial"/>
              </w:rPr>
              <w:lastRenderedPageBreak/>
              <w:t>General Purposes Subcommittee of the Secretariat.</w:t>
            </w:r>
            <w:r>
              <w:rPr>
                <w:rFonts w:ascii="Arial" w:hAnsi="Arial" w:cs="Arial"/>
              </w:rPr>
              <w:t xml:space="preserve"> </w:t>
            </w:r>
            <w:r w:rsidR="006347C8" w:rsidRPr="006347C8">
              <w:rPr>
                <w:rFonts w:ascii="Arial" w:hAnsi="Arial" w:cs="Arial"/>
                <w:b/>
              </w:rPr>
              <w:t>N.B.</w:t>
            </w:r>
            <w:r w:rsidR="006347C8">
              <w:rPr>
                <w:rFonts w:ascii="Arial" w:hAnsi="Arial" w:cs="Arial"/>
              </w:rPr>
              <w:t xml:space="preserve"> The Linkage Group section </w:t>
            </w:r>
            <w:r>
              <w:rPr>
                <w:rFonts w:ascii="Arial" w:hAnsi="Arial" w:cs="Arial"/>
              </w:rPr>
              <w:t>was discussed</w:t>
            </w:r>
            <w:r w:rsidR="006347C8">
              <w:rPr>
                <w:rFonts w:ascii="Arial" w:hAnsi="Arial" w:cs="Arial"/>
              </w:rPr>
              <w:t xml:space="preserve"> with each Linkage Group in September and November 2018.</w:t>
            </w:r>
          </w:p>
        </w:tc>
      </w:tr>
      <w:tr w:rsidR="001E60BB" w:rsidTr="002B2F4E">
        <w:trPr>
          <w:trHeight w:val="629"/>
        </w:trPr>
        <w:tc>
          <w:tcPr>
            <w:tcW w:w="2592" w:type="dxa"/>
          </w:tcPr>
          <w:p w:rsidR="001E60BB" w:rsidRDefault="005E73ED" w:rsidP="00AB219C">
            <w:pPr>
              <w:pStyle w:val="ListParagraph"/>
              <w:numPr>
                <w:ilvl w:val="0"/>
                <w:numId w:val="6"/>
              </w:numPr>
              <w:spacing w:before="120" w:after="120" w:line="360" w:lineRule="auto"/>
              <w:rPr>
                <w:rFonts w:ascii="Arial" w:hAnsi="Arial" w:cs="Arial"/>
                <w:b/>
              </w:rPr>
            </w:pPr>
            <w:r>
              <w:rPr>
                <w:rFonts w:ascii="Arial" w:hAnsi="Arial" w:cs="Arial"/>
                <w:b/>
              </w:rPr>
              <w:lastRenderedPageBreak/>
              <w:t xml:space="preserve">Participation and Representation </w:t>
            </w:r>
          </w:p>
        </w:tc>
        <w:tc>
          <w:tcPr>
            <w:tcW w:w="6588" w:type="dxa"/>
          </w:tcPr>
          <w:p w:rsidR="001E60BB" w:rsidRDefault="005E73ED" w:rsidP="00327B89">
            <w:pPr>
              <w:spacing w:before="120" w:after="120" w:line="360" w:lineRule="auto"/>
              <w:rPr>
                <w:rFonts w:ascii="Arial" w:hAnsi="Arial" w:cs="Arial"/>
              </w:rPr>
            </w:pPr>
            <w:r>
              <w:rPr>
                <w:rFonts w:ascii="Arial" w:hAnsi="Arial" w:cs="Arial"/>
              </w:rPr>
              <w:t>Outlines:</w:t>
            </w:r>
          </w:p>
          <w:p w:rsidR="005E73ED" w:rsidRDefault="005E73ED" w:rsidP="005E73ED">
            <w:pPr>
              <w:pStyle w:val="ListParagraph"/>
              <w:numPr>
                <w:ilvl w:val="0"/>
                <w:numId w:val="8"/>
              </w:numPr>
              <w:spacing w:before="120" w:after="120" w:line="360" w:lineRule="auto"/>
              <w:rPr>
                <w:rFonts w:ascii="Arial" w:hAnsi="Arial" w:cs="Arial"/>
              </w:rPr>
            </w:pPr>
            <w:r>
              <w:rPr>
                <w:rFonts w:ascii="Arial" w:hAnsi="Arial" w:cs="Arial"/>
              </w:rPr>
              <w:t xml:space="preserve">Roles, rights and responsibilities of PPN Representatives. </w:t>
            </w:r>
          </w:p>
          <w:p w:rsidR="005E73ED" w:rsidRDefault="005E73ED" w:rsidP="005E73ED">
            <w:pPr>
              <w:pStyle w:val="ListParagraph"/>
              <w:numPr>
                <w:ilvl w:val="0"/>
                <w:numId w:val="8"/>
              </w:numPr>
              <w:spacing w:before="120" w:after="120" w:line="360" w:lineRule="auto"/>
              <w:rPr>
                <w:rFonts w:ascii="Arial" w:hAnsi="Arial" w:cs="Arial"/>
              </w:rPr>
            </w:pPr>
            <w:r>
              <w:rPr>
                <w:rFonts w:ascii="Arial" w:hAnsi="Arial" w:cs="Arial"/>
              </w:rPr>
              <w:t xml:space="preserve">Vacancies and elections. </w:t>
            </w:r>
          </w:p>
          <w:p w:rsidR="005E73ED" w:rsidRPr="005E73ED" w:rsidRDefault="005E73ED" w:rsidP="005E73ED">
            <w:pPr>
              <w:pStyle w:val="ListParagraph"/>
              <w:numPr>
                <w:ilvl w:val="0"/>
                <w:numId w:val="8"/>
              </w:numPr>
              <w:spacing w:before="120" w:after="120" w:line="360" w:lineRule="auto"/>
              <w:rPr>
                <w:rFonts w:ascii="Arial" w:hAnsi="Arial" w:cs="Arial"/>
              </w:rPr>
            </w:pPr>
            <w:r>
              <w:rPr>
                <w:rFonts w:ascii="Arial" w:hAnsi="Arial" w:cs="Arial"/>
              </w:rPr>
              <w:t>Removal of representatives, complaints procedure, code of conduct.</w:t>
            </w:r>
          </w:p>
        </w:tc>
        <w:tc>
          <w:tcPr>
            <w:tcW w:w="6521" w:type="dxa"/>
          </w:tcPr>
          <w:p w:rsidR="007D08AC" w:rsidRDefault="007D08AC" w:rsidP="00327B89">
            <w:pPr>
              <w:spacing w:before="120" w:after="120" w:line="360" w:lineRule="auto"/>
              <w:rPr>
                <w:rFonts w:ascii="Arial" w:hAnsi="Arial" w:cs="Arial"/>
              </w:rPr>
            </w:pPr>
            <w:r>
              <w:rPr>
                <w:rFonts w:ascii="Arial" w:hAnsi="Arial" w:cs="Arial"/>
              </w:rPr>
              <w:t>Section 8 (voting) and 7 (Representatives) merged into one section,</w:t>
            </w:r>
          </w:p>
          <w:p w:rsidR="001E60BB" w:rsidRDefault="005E73ED" w:rsidP="00327B89">
            <w:pPr>
              <w:spacing w:before="120" w:after="120" w:line="360" w:lineRule="auto"/>
              <w:rPr>
                <w:rFonts w:ascii="Arial" w:hAnsi="Arial" w:cs="Arial"/>
              </w:rPr>
            </w:pPr>
            <w:r>
              <w:rPr>
                <w:rFonts w:ascii="Arial" w:hAnsi="Arial" w:cs="Arial"/>
              </w:rPr>
              <w:t>Provides much more detail on the roles, rights and responsibilities of PPN Representatives.</w:t>
            </w:r>
          </w:p>
          <w:p w:rsidR="005E73ED" w:rsidRDefault="005E73ED" w:rsidP="00327B89">
            <w:pPr>
              <w:spacing w:before="120" w:after="120" w:line="360" w:lineRule="auto"/>
              <w:rPr>
                <w:rFonts w:ascii="Arial" w:hAnsi="Arial" w:cs="Arial"/>
              </w:rPr>
            </w:pPr>
            <w:r>
              <w:rPr>
                <w:rFonts w:ascii="Arial" w:hAnsi="Arial" w:cs="Arial"/>
              </w:rPr>
              <w:t xml:space="preserve">Provides a disqualification mechanism for PPN Representatives, with appeals procedure. </w:t>
            </w:r>
          </w:p>
          <w:p w:rsidR="005E73ED" w:rsidRDefault="005E73ED" w:rsidP="002B2F4E">
            <w:pPr>
              <w:spacing w:before="120" w:after="120" w:line="360" w:lineRule="auto"/>
              <w:rPr>
                <w:rFonts w:ascii="Arial" w:hAnsi="Arial" w:cs="Arial"/>
              </w:rPr>
            </w:pPr>
            <w:r>
              <w:rPr>
                <w:rFonts w:ascii="Arial" w:hAnsi="Arial" w:cs="Arial"/>
              </w:rPr>
              <w:t>Removes appeals process going to a full</w:t>
            </w:r>
            <w:r w:rsidR="002B2F4E">
              <w:rPr>
                <w:rFonts w:ascii="Arial" w:hAnsi="Arial" w:cs="Arial"/>
              </w:rPr>
              <w:t xml:space="preserve"> Plenary meeting of the PPN, proposes a new appeals process. </w:t>
            </w:r>
          </w:p>
        </w:tc>
      </w:tr>
      <w:tr w:rsidR="001E60BB" w:rsidTr="002B2F4E">
        <w:trPr>
          <w:trHeight w:val="629"/>
        </w:trPr>
        <w:tc>
          <w:tcPr>
            <w:tcW w:w="2592" w:type="dxa"/>
          </w:tcPr>
          <w:p w:rsidR="001E60BB" w:rsidRDefault="007D08AC" w:rsidP="00AB219C">
            <w:pPr>
              <w:pStyle w:val="ListParagraph"/>
              <w:numPr>
                <w:ilvl w:val="0"/>
                <w:numId w:val="6"/>
              </w:numPr>
              <w:spacing w:before="120" w:after="120" w:line="360" w:lineRule="auto"/>
              <w:rPr>
                <w:rFonts w:ascii="Arial" w:hAnsi="Arial" w:cs="Arial"/>
                <w:b/>
              </w:rPr>
            </w:pPr>
            <w:r>
              <w:rPr>
                <w:rFonts w:ascii="Arial" w:hAnsi="Arial" w:cs="Arial"/>
                <w:b/>
              </w:rPr>
              <w:t>Financial Matters</w:t>
            </w:r>
          </w:p>
        </w:tc>
        <w:tc>
          <w:tcPr>
            <w:tcW w:w="6588" w:type="dxa"/>
          </w:tcPr>
          <w:p w:rsidR="001E60BB" w:rsidRDefault="007D08AC" w:rsidP="00327B89">
            <w:pPr>
              <w:spacing w:before="120" w:after="120" w:line="360" w:lineRule="auto"/>
              <w:rPr>
                <w:rFonts w:ascii="Arial" w:hAnsi="Arial" w:cs="Arial"/>
              </w:rPr>
            </w:pPr>
            <w:r>
              <w:rPr>
                <w:rFonts w:ascii="Arial" w:hAnsi="Arial" w:cs="Arial"/>
              </w:rPr>
              <w:t xml:space="preserve">Outlines management of Financial Records and PPN Representative Expenses. </w:t>
            </w:r>
          </w:p>
        </w:tc>
        <w:tc>
          <w:tcPr>
            <w:tcW w:w="6521" w:type="dxa"/>
          </w:tcPr>
          <w:p w:rsidR="001E60BB" w:rsidRDefault="007D08AC" w:rsidP="00327B89">
            <w:pPr>
              <w:spacing w:before="120" w:after="120" w:line="360" w:lineRule="auto"/>
              <w:rPr>
                <w:rFonts w:ascii="Arial" w:hAnsi="Arial" w:cs="Arial"/>
              </w:rPr>
            </w:pPr>
            <w:r>
              <w:rPr>
                <w:rFonts w:ascii="Arial" w:hAnsi="Arial" w:cs="Arial"/>
              </w:rPr>
              <w:t xml:space="preserve">Did not exist in old constitution. </w:t>
            </w:r>
          </w:p>
        </w:tc>
      </w:tr>
      <w:tr w:rsidR="001E60BB" w:rsidTr="002B2F4E">
        <w:trPr>
          <w:trHeight w:val="629"/>
        </w:trPr>
        <w:tc>
          <w:tcPr>
            <w:tcW w:w="2592" w:type="dxa"/>
          </w:tcPr>
          <w:p w:rsidR="001E60BB" w:rsidRDefault="007D08AC" w:rsidP="00AB219C">
            <w:pPr>
              <w:pStyle w:val="ListParagraph"/>
              <w:numPr>
                <w:ilvl w:val="0"/>
                <w:numId w:val="6"/>
              </w:numPr>
              <w:spacing w:before="120" w:after="120" w:line="360" w:lineRule="auto"/>
              <w:rPr>
                <w:rFonts w:ascii="Arial" w:hAnsi="Arial" w:cs="Arial"/>
                <w:b/>
              </w:rPr>
            </w:pPr>
            <w:r>
              <w:rPr>
                <w:rFonts w:ascii="Arial" w:hAnsi="Arial" w:cs="Arial"/>
                <w:b/>
              </w:rPr>
              <w:t>Services of Notices</w:t>
            </w:r>
          </w:p>
        </w:tc>
        <w:tc>
          <w:tcPr>
            <w:tcW w:w="6588" w:type="dxa"/>
          </w:tcPr>
          <w:p w:rsidR="001E60BB" w:rsidRDefault="007D08AC" w:rsidP="00327B89">
            <w:pPr>
              <w:spacing w:before="120" w:after="120" w:line="360" w:lineRule="auto"/>
              <w:rPr>
                <w:rFonts w:ascii="Arial" w:hAnsi="Arial" w:cs="Arial"/>
              </w:rPr>
            </w:pPr>
            <w:r>
              <w:rPr>
                <w:rFonts w:ascii="Arial" w:hAnsi="Arial" w:cs="Arial"/>
              </w:rPr>
              <w:t xml:space="preserve">Outlines how the PPN serves information to PPN Member organisations. </w:t>
            </w:r>
          </w:p>
        </w:tc>
        <w:tc>
          <w:tcPr>
            <w:tcW w:w="6521" w:type="dxa"/>
          </w:tcPr>
          <w:p w:rsidR="001E60BB" w:rsidRDefault="007D08AC" w:rsidP="00327B89">
            <w:pPr>
              <w:spacing w:before="120" w:after="120" w:line="360" w:lineRule="auto"/>
              <w:rPr>
                <w:rFonts w:ascii="Arial" w:hAnsi="Arial" w:cs="Arial"/>
              </w:rPr>
            </w:pPr>
            <w:r>
              <w:rPr>
                <w:rFonts w:ascii="Arial" w:hAnsi="Arial" w:cs="Arial"/>
              </w:rPr>
              <w:t>Did not exist in old constitution.</w:t>
            </w:r>
          </w:p>
        </w:tc>
      </w:tr>
      <w:tr w:rsidR="001E60BB" w:rsidTr="002B2F4E">
        <w:trPr>
          <w:trHeight w:val="629"/>
        </w:trPr>
        <w:tc>
          <w:tcPr>
            <w:tcW w:w="2592" w:type="dxa"/>
          </w:tcPr>
          <w:p w:rsidR="001E60BB" w:rsidRDefault="007D08AC" w:rsidP="00AB219C">
            <w:pPr>
              <w:pStyle w:val="ListParagraph"/>
              <w:numPr>
                <w:ilvl w:val="0"/>
                <w:numId w:val="6"/>
              </w:numPr>
              <w:spacing w:before="120" w:after="120" w:line="360" w:lineRule="auto"/>
              <w:rPr>
                <w:rFonts w:ascii="Arial" w:hAnsi="Arial" w:cs="Arial"/>
                <w:b/>
              </w:rPr>
            </w:pPr>
            <w:r>
              <w:rPr>
                <w:rFonts w:ascii="Arial" w:hAnsi="Arial" w:cs="Arial"/>
                <w:b/>
              </w:rPr>
              <w:t>Amendments to the Constitution</w:t>
            </w:r>
          </w:p>
        </w:tc>
        <w:tc>
          <w:tcPr>
            <w:tcW w:w="6588" w:type="dxa"/>
          </w:tcPr>
          <w:p w:rsidR="001E60BB" w:rsidRDefault="007D08AC" w:rsidP="00327B89">
            <w:pPr>
              <w:spacing w:before="120" w:after="120" w:line="360" w:lineRule="auto"/>
              <w:rPr>
                <w:rFonts w:ascii="Arial" w:hAnsi="Arial" w:cs="Arial"/>
              </w:rPr>
            </w:pPr>
            <w:r>
              <w:rPr>
                <w:rFonts w:ascii="Arial" w:hAnsi="Arial" w:cs="Arial"/>
              </w:rPr>
              <w:t>Outlines how amendments can be made to the constitution.</w:t>
            </w:r>
          </w:p>
        </w:tc>
        <w:tc>
          <w:tcPr>
            <w:tcW w:w="6521" w:type="dxa"/>
          </w:tcPr>
          <w:p w:rsidR="007D08AC" w:rsidRDefault="007D08AC" w:rsidP="007D08AC">
            <w:pPr>
              <w:spacing w:before="120" w:after="120" w:line="360" w:lineRule="auto"/>
              <w:rPr>
                <w:rFonts w:ascii="Arial" w:hAnsi="Arial" w:cs="Arial"/>
              </w:rPr>
            </w:pPr>
            <w:r>
              <w:rPr>
                <w:rFonts w:ascii="Arial" w:hAnsi="Arial" w:cs="Arial"/>
              </w:rPr>
              <w:t xml:space="preserve">Proposes that 30 members are required to propose an amendment within 10 days of the Plenary AGM with a simple majority required for its passing. Previously a single member could propose an amendment with a majority of two thirds required for its passing. </w:t>
            </w:r>
          </w:p>
        </w:tc>
      </w:tr>
    </w:tbl>
    <w:p w:rsidR="00AB219C" w:rsidRPr="00246EAE" w:rsidRDefault="00AB219C" w:rsidP="00AB219C">
      <w:pPr>
        <w:pStyle w:val="ListParagraph"/>
        <w:spacing w:before="120" w:after="120" w:line="360" w:lineRule="auto"/>
        <w:ind w:left="360"/>
        <w:rPr>
          <w:rFonts w:ascii="Arial" w:hAnsi="Arial" w:cs="Arial"/>
          <w:sz w:val="6"/>
        </w:rPr>
      </w:pPr>
    </w:p>
    <w:p w:rsidR="00017730" w:rsidRDefault="00017730"/>
    <w:sectPr w:rsidR="00017730" w:rsidSect="002B2F4E">
      <w:pgSz w:w="16838" w:h="11906" w:orient="landscape"/>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1AEA"/>
    <w:multiLevelType w:val="hybridMultilevel"/>
    <w:tmpl w:val="87AC4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DD96E25"/>
    <w:multiLevelType w:val="hybridMultilevel"/>
    <w:tmpl w:val="A90E233A"/>
    <w:lvl w:ilvl="0" w:tplc="6DC6AB3E">
      <w:start w:val="11"/>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47D20877"/>
    <w:multiLevelType w:val="hybridMultilevel"/>
    <w:tmpl w:val="9668C1A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63FD1BB7"/>
    <w:multiLevelType w:val="hybridMultilevel"/>
    <w:tmpl w:val="15DA9C4E"/>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45F4C82"/>
    <w:multiLevelType w:val="hybridMultilevel"/>
    <w:tmpl w:val="CEB486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6AAA5C2F"/>
    <w:multiLevelType w:val="hybridMultilevel"/>
    <w:tmpl w:val="BACA9186"/>
    <w:lvl w:ilvl="0" w:tplc="C610EA8C">
      <w:start w:val="4"/>
      <w:numFmt w:val="bullet"/>
      <w:lvlText w:val="-"/>
      <w:lvlJc w:val="left"/>
      <w:pPr>
        <w:ind w:left="360" w:hanging="360"/>
      </w:pPr>
      <w:rPr>
        <w:rFonts w:ascii="Arial" w:eastAsiaTheme="minorHAnsi"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6C9C6098"/>
    <w:multiLevelType w:val="hybridMultilevel"/>
    <w:tmpl w:val="C810A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BEA0CA7"/>
    <w:multiLevelType w:val="hybridMultilevel"/>
    <w:tmpl w:val="5BB0F444"/>
    <w:lvl w:ilvl="0" w:tplc="CBE49BD2">
      <w:start w:val="1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9C"/>
    <w:rsid w:val="00017730"/>
    <w:rsid w:val="00192EEF"/>
    <w:rsid w:val="001E60BB"/>
    <w:rsid w:val="002B2F4E"/>
    <w:rsid w:val="003C46A1"/>
    <w:rsid w:val="005E73ED"/>
    <w:rsid w:val="006347C8"/>
    <w:rsid w:val="007D08AC"/>
    <w:rsid w:val="00AB219C"/>
    <w:rsid w:val="00D661DB"/>
    <w:rsid w:val="00ED4756"/>
    <w:rsid w:val="00F710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9C"/>
    <w:pPr>
      <w:ind w:left="720"/>
      <w:contextualSpacing/>
    </w:pPr>
  </w:style>
  <w:style w:type="table" w:styleId="TableGrid">
    <w:name w:val="Table Grid"/>
    <w:basedOn w:val="TableNormal"/>
    <w:uiPriority w:val="59"/>
    <w:rsid w:val="00AB2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1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19C"/>
    <w:pPr>
      <w:ind w:left="720"/>
      <w:contextualSpacing/>
    </w:pPr>
  </w:style>
  <w:style w:type="table" w:styleId="TableGrid">
    <w:name w:val="Table Grid"/>
    <w:basedOn w:val="TableNormal"/>
    <w:uiPriority w:val="59"/>
    <w:rsid w:val="00AB2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n@fingal.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Moore</dc:creator>
  <cp:lastModifiedBy>Jamie Moore</cp:lastModifiedBy>
  <cp:revision>3</cp:revision>
  <dcterms:created xsi:type="dcterms:W3CDTF">2019-06-10T12:35:00Z</dcterms:created>
  <dcterms:modified xsi:type="dcterms:W3CDTF">2019-06-10T12:36:00Z</dcterms:modified>
</cp:coreProperties>
</file>